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140"/>
        <w:jc w:val="center"/>
      </w:pPr>
      <w:r>
        <w:rPr>
          <w:b/>
          <w:color w:val="0B3A5E"/>
          <w:sz w:val="32"/>
        </w:rPr>
        <w:t>NOTA DE INTELIGENCIA DE CONNOTACIÓN N.° 001-2026</w:t>
      </w:r>
    </w:p>
    <w:p>
      <w:pPr>
        <w:spacing w:after="120"/>
        <w:jc w:val="center"/>
      </w:pPr>
      <w:r>
        <w:rPr>
          <w:b/>
          <w:color w:val="B45A0F"/>
          <w:sz w:val="17"/>
        </w:rPr>
        <w:t>INTELIGENCIA DE CONTEXTO · NO ESTADÍSTICO · INFORMACIÓN EN DESARROLLO</w:t>
      </w:r>
    </w:p>
    <w:tbl>
      <w:tblPr>
        <w:tblStyle w:val="TableGrid"/>
        <w:tblW w:type="auto" w:w="0"/>
        <w:jc w:val="center"/>
        <w:tblLook w:firstColumn="1" w:firstRow="1" w:lastColumn="0" w:lastRow="0" w:noHBand="0" w:noVBand="1" w:val="04A0"/>
      </w:tblPr>
      <w:tblGrid>
        <w:gridCol w:w="5184"/>
        <w:gridCol w:w="5184"/>
      </w:tblGrid>
      <w:tr>
        <w:tc>
          <w:tcPr>
            <w:tcW w:type="dxa" w:w="5184"/>
            <w:vAlign w:val="center"/>
          </w:tcPr>
          <w:p>
            <w:r>
              <w:rPr>
                <w:b/>
                <w:sz w:val="18"/>
              </w:rPr>
              <w:t>ASUNTO</w:t>
            </w:r>
          </w:p>
        </w:tc>
        <w:tc>
          <w:tcPr>
            <w:tcW w:type="dxa" w:w="5184"/>
            <w:vAlign w:val="center"/>
          </w:tcPr>
          <w:p>
            <w:r>
              <w:t>Evento criminal de alta connotación registrado en Trujillo: homicidio múltiple y secuestro de empresario vinculado al sector minero.</w:t>
            </w:r>
          </w:p>
        </w:tc>
      </w:tr>
      <w:tr>
        <w:tc>
          <w:tcPr>
            <w:tcW w:type="dxa" w:w="5184"/>
            <w:vAlign w:val="center"/>
          </w:tcPr>
          <w:p>
            <w:r>
              <w:rPr>
                <w:b/>
                <w:sz w:val="18"/>
              </w:rPr>
              <w:t>FECHA DE CORTE</w:t>
            </w:r>
          </w:p>
        </w:tc>
        <w:tc>
          <w:tcPr>
            <w:tcW w:type="dxa" w:w="5184"/>
            <w:vAlign w:val="center"/>
          </w:tcPr>
          <w:p>
            <w:r>
              <w:t>31 de agosto de 2026 – información abierta disponible al momento de elaboración.</w:t>
            </w:r>
          </w:p>
        </w:tc>
      </w:tr>
      <w:tr>
        <w:tc>
          <w:tcPr>
            <w:tcW w:type="dxa" w:w="5184"/>
            <w:vAlign w:val="center"/>
          </w:tcPr>
          <w:p>
            <w:r>
              <w:rPr>
                <w:b/>
                <w:sz w:val="18"/>
              </w:rPr>
              <w:t>ÁMBITO</w:t>
            </w:r>
          </w:p>
        </w:tc>
        <w:tc>
          <w:tcPr>
            <w:tcW w:type="dxa" w:w="5184"/>
            <w:vAlign w:val="center"/>
          </w:tcPr>
          <w:p>
            <w:r>
              <w:t>Trujillo · Región La Libertad.</w:t>
            </w:r>
          </w:p>
        </w:tc>
      </w:tr>
      <w:tr>
        <w:tc>
          <w:tcPr>
            <w:tcW w:type="dxa" w:w="5184"/>
            <w:vAlign w:val="center"/>
          </w:tcPr>
          <w:p>
            <w:r>
              <w:rPr>
                <w:b/>
                <w:sz w:val="18"/>
              </w:rPr>
              <w:t>NIVEL DE CONNOTACIÓN</w:t>
            </w:r>
          </w:p>
        </w:tc>
        <w:tc>
          <w:tcPr>
            <w:tcW w:type="dxa" w:w="5184"/>
            <w:vAlign w:val="center"/>
          </w:tcPr>
          <w:p>
            <w:r>
              <w:rPr>
                <w:b/>
                <w:color w:val="BE2323"/>
              </w:rPr>
              <w:t>EVENTO CRÍTICO – seguimiento prioritario.</w:t>
            </w:r>
          </w:p>
        </w:tc>
      </w:tr>
      <w:tr>
        <w:tc>
          <w:tcPr>
            <w:tcW w:type="dxa" w:w="5184"/>
            <w:vAlign w:val="center"/>
          </w:tcPr>
          <w:p>
            <w:r>
              <w:rPr>
                <w:b/>
                <w:sz w:val="18"/>
              </w:rPr>
              <w:t>NATURALEZA</w:t>
            </w:r>
          </w:p>
        </w:tc>
        <w:tc>
          <w:tcPr>
            <w:tcW w:type="dxa" w:w="5184"/>
            <w:vAlign w:val="center"/>
          </w:tcPr>
          <w:p>
            <w:r>
              <w:t>Inteligencia de contexto. NO constituye consolidación estadística oficial.</w:t>
            </w:r>
          </w:p>
        </w:tc>
      </w:tr>
    </w:tbl>
    <w:p>
      <w:pPr>
        <w:spacing w:before="140" w:after="80"/>
        <w:shd w:fill="0B3A5E"/>
        <w:ind w:left="90" w:right="90"/>
      </w:pPr>
      <w:r>
        <w:rPr>
          <w:b/>
          <w:color w:val="FFFFFF"/>
          <w:sz w:val="21"/>
        </w:rPr>
        <w:t>1. SITUACIÓN</w:t>
      </w:r>
    </w:p>
    <w:p>
      <w:pPr>
        <w:spacing w:after="80" w:line="252" w:lineRule="auto"/>
        <w:jc w:val="both"/>
      </w:pPr>
      <w:r>
        <w:t>Durante la madrugada del 30 de agosto de 2026, un grupo de sujetos que utilizaba prendas similares a las de una unidad policial interceptó en la avenida Húsares de Junín, urbanización El Recreo, el vehículo en el que se desplazaba un empresario vinculado al sector minero junto con cuatro acompañantes. Los cuatro acompañantes fueron asesinados y el empresario fue secuestrado. La Policía Nacional desplegó unidades especializadas para ubicar a la víctima y a los responsables.</w:t>
      </w:r>
    </w:p>
    <w:p>
      <w:pPr>
        <w:spacing w:before="140" w:after="80"/>
        <w:shd w:fill="0B3A5E"/>
        <w:ind w:left="90" w:right="90"/>
      </w:pPr>
      <w:r>
        <w:rPr>
          <w:b/>
          <w:color w:val="FFFFFF"/>
          <w:sz w:val="21"/>
        </w:rPr>
        <w:t>2. ACTUALIZACIÓN OPERACIONAL</w:t>
      </w:r>
    </w:p>
    <w:p>
      <w:pPr>
        <w:spacing w:after="80" w:line="252" w:lineRule="auto"/>
        <w:jc w:val="both"/>
      </w:pPr>
      <w:r>
        <w:t>Al corte de esta nota, el jefe de la Región Policial La Libertad, general PNP Ricardo Espinoza Cuestas, informó públicamente que las investigaciones se encuentran avanzadas, que ya se han efectuado capturas y que brindará información oficial adicional en las próximas horas. Debido al carácter reciente de este anuncio, la identidad, número, condición jurídica y grado de participación de las personas capturadas deben mantenerse como información pendiente de confirmación oficial detallada.</w:t>
      </w:r>
    </w:p>
    <w:p>
      <w:pPr>
        <w:spacing w:before="140" w:after="80"/>
        <w:shd w:fill="0B3A5E"/>
        <w:ind w:left="90" w:right="90"/>
      </w:pPr>
      <w:r>
        <w:rPr>
          <w:b/>
          <w:color w:val="FFFFFF"/>
          <w:sz w:val="21"/>
        </w:rPr>
        <w:t>3. ELEMENTOS DE CONNOTACIÓN ESTRATÉGICA</w:t>
      </w:r>
    </w:p>
    <w:p>
      <w:pPr>
        <w:ind w:left="259"/>
      </w:pPr>
      <w:r>
        <w:rPr>
          <w:b/>
        </w:rPr>
        <w:t xml:space="preserve">• </w:t>
      </w:r>
      <w:r>
        <w:t>Homicidio múltiple de cuatro personas en un mismo evento.</w:t>
      </w:r>
    </w:p>
    <w:p>
      <w:pPr>
        <w:ind w:left="259"/>
      </w:pPr>
      <w:r>
        <w:rPr>
          <w:b/>
        </w:rPr>
        <w:t xml:space="preserve">• </w:t>
      </w:r>
      <w:r>
        <w:t>Secuestro selectivo de un empresario vinculado al sector minero.</w:t>
      </w:r>
    </w:p>
    <w:p>
      <w:pPr>
        <w:ind w:left="259"/>
      </w:pPr>
      <w:r>
        <w:rPr>
          <w:b/>
        </w:rPr>
        <w:t xml:space="preserve">• </w:t>
      </w:r>
      <w:r>
        <w:t>Empleo de indumentaria similar a la policial y armas de largo alcance, según información difundida por fuentes oficiales y medios.</w:t>
      </w:r>
    </w:p>
    <w:p>
      <w:pPr>
        <w:ind w:left="259"/>
      </w:pPr>
      <w:r>
        <w:rPr>
          <w:b/>
        </w:rPr>
        <w:t xml:space="preserve">• </w:t>
      </w:r>
      <w:r>
        <w:t>Probable planificación y capacidad logística previa.</w:t>
      </w:r>
    </w:p>
    <w:p>
      <w:pPr>
        <w:ind w:left="259"/>
      </w:pPr>
      <w:r>
        <w:rPr>
          <w:b/>
        </w:rPr>
        <w:t xml:space="preserve">• </w:t>
      </w:r>
      <w:r>
        <w:t>Posible intervención de criminalidad organizada, materia de investigación policial.</w:t>
      </w:r>
    </w:p>
    <w:p>
      <w:pPr>
        <w:ind w:left="259"/>
      </w:pPr>
      <w:r>
        <w:rPr>
          <w:b/>
        </w:rPr>
        <w:t xml:space="preserve">• </w:t>
      </w:r>
      <w:r>
        <w:t>Elevada repercusión pública, institucional y nacional.</w:t>
      </w:r>
    </w:p>
    <w:p>
      <w:pPr>
        <w:ind w:left="259"/>
      </w:pPr>
      <w:r>
        <w:rPr>
          <w:b/>
        </w:rPr>
        <w:t xml:space="preserve">• </w:t>
      </w:r>
      <w:r>
        <w:t>Respuesta extraordinaria del Estado: refuerzo policial especializado y coordinación con las Fuerzas Armadas.</w:t>
      </w:r>
    </w:p>
    <w:p>
      <w:pPr>
        <w:spacing w:before="140" w:after="80"/>
        <w:shd w:fill="0B3A5E"/>
        <w:ind w:left="90" w:right="90"/>
      </w:pPr>
      <w:r>
        <w:rPr>
          <w:b/>
          <w:color w:val="FFFFFF"/>
          <w:sz w:val="21"/>
        </w:rPr>
        <w:t>4. APRECIACIÓN DE INTELIGENCIA</w:t>
      </w:r>
    </w:p>
    <w:p>
      <w:pPr>
        <w:spacing w:after="80" w:line="252" w:lineRule="auto"/>
        <w:jc w:val="both"/>
      </w:pPr>
      <w:r>
        <w:t>El evento no debe evaluarse únicamente por su efecto cuantitativo sobre el número acumulado de homicidios. Su trascendencia reside en la capacidad operativa exhibida: selección del objetivo, probable planificación, ejecución coordinada, violencia letal contra acompañantes y utilización de elementos destinados a simular una intervención policial.</w:t>
      </w:r>
    </w:p>
    <w:p>
      <w:pPr>
        <w:spacing w:after="80" w:line="252" w:lineRule="auto"/>
        <w:jc w:val="both"/>
      </w:pPr>
      <w:r>
        <w:t>En consecuencia, aun cuando determinados indicadores estadísticos acumulados mantengan una evolución favorable, el hecho modifica coyunturalmente el escenario de seguridad de Trujillo y justifica elevar el nivel de atención de inteligencia. Esto no invalida la tendencia estadística previa: ambas dimensiones deben mantenerse metodológicamente separadas.</w:t>
      </w:r>
    </w:p>
    <w:p>
      <w:pPr>
        <w:spacing w:before="140" w:after="80"/>
        <w:shd w:fill="0B3A5E"/>
        <w:ind w:left="90" w:right="90"/>
      </w:pPr>
      <w:r>
        <w:rPr>
          <w:b/>
          <w:color w:val="FFFFFF"/>
          <w:sz w:val="21"/>
        </w:rPr>
        <w:t>5. HIPÓTESIS DE TRABAJO – EN EVALUACIÓN</w:t>
      </w:r>
    </w:p>
    <w:p>
      <w:pPr>
        <w:spacing w:after="80" w:line="252" w:lineRule="auto"/>
        <w:jc w:val="both"/>
      </w:pPr>
      <w:r>
        <w:t>Las investigaciones deberán determinar la organización responsable, autores materiales e intelectuales, motivación del secuestro, posible vinculación con actividades económicas o mineras, procedencia de la información utilizada para seleccionar y ubicar a la víctima, apoyo logístico y eventuales conexiones con personas recluidas en establecimientos penitenciarios. Ninguna de estas hipótesis debe presentarse como conclusión mientras no exista confirmación oficial.</w:t>
      </w:r>
    </w:p>
    <w:p>
      <w:pPr>
        <w:spacing w:before="140" w:after="80"/>
        <w:shd w:fill="0B3A5E"/>
        <w:ind w:left="90" w:right="90"/>
      </w:pPr>
      <w:r>
        <w:rPr>
          <w:b/>
          <w:color w:val="FFFFFF"/>
          <w:sz w:val="21"/>
        </w:rPr>
        <w:t>6. INDICADORES DE SEGUIMIENTO</w:t>
      </w:r>
    </w:p>
    <w:p>
      <w:pPr>
        <w:spacing w:after="80" w:line="252" w:lineRule="auto"/>
        <w:jc w:val="both"/>
      </w:pPr>
      <w:r>
        <w:t>ORSEC deberá observar prioritariamente: situación y ubicación de la víctima secuestrada; información oficial sobre las capturas anunciadas; identificación de autores materiales e intelectuales; organización criminal involucrada; vehículos, armas y logística empleada; comunicaciones o exigencias vinculadas al secuestro; eventuales hechos conexos; y resultados de las operaciones policiales y fiscales.</w:t>
      </w:r>
    </w:p>
    <w:p>
      <w:pPr>
        <w:spacing w:before="140" w:after="80"/>
        <w:shd w:fill="0B3A5E"/>
        <w:ind w:left="90" w:right="90"/>
      </w:pPr>
      <w:r>
        <w:rPr>
          <w:b/>
          <w:color w:val="FFFFFF"/>
          <w:sz w:val="21"/>
        </w:rPr>
        <w:t>7. VALORACIÓN ORSEC</w:t>
      </w:r>
    </w:p>
    <w:tbl>
      <w:tblPr>
        <w:tblStyle w:val="TableGrid"/>
        <w:tblW w:type="auto" w:w="0"/>
        <w:jc w:val="center"/>
        <w:tblLook w:firstColumn="1" w:firstRow="1" w:lastColumn="0" w:lastRow="0" w:noHBand="0" w:noVBand="1" w:val="04A0"/>
      </w:tblPr>
      <w:tblGrid>
        <w:gridCol w:w="5184"/>
        <w:gridCol w:w="5184"/>
      </w:tblGrid>
      <w:tr>
        <w:tc>
          <w:tcPr>
            <w:tcW w:type="dxa" w:w="5184"/>
          </w:tcPr>
          <w:p>
            <w:r>
              <w:rPr>
                <w:b/>
              </w:rPr>
              <w:t>Tendencia estadística</w:t>
            </w:r>
          </w:p>
        </w:tc>
        <w:tc>
          <w:tcPr>
            <w:tcW w:type="dxa" w:w="5184"/>
          </w:tcPr>
          <w:p>
            <w:r>
              <w:t>Debe mantenerse conforme a la base oficial consolidada.</w:t>
            </w:r>
          </w:p>
        </w:tc>
      </w:tr>
      <w:tr>
        <w:tc>
          <w:tcPr>
            <w:tcW w:type="dxa" w:w="5184"/>
          </w:tcPr>
          <w:p>
            <w:r>
              <w:rPr>
                <w:b/>
              </w:rPr>
              <w:t>Connotación estratégica</w:t>
            </w:r>
          </w:p>
        </w:tc>
        <w:tc>
          <w:tcPr>
            <w:tcW w:type="dxa" w:w="5184"/>
          </w:tcPr>
          <w:p>
            <w:r>
              <w:rPr>
                <w:b/>
                <w:color w:val="BE2323"/>
              </w:rPr>
              <w:t>CRÍTICA.</w:t>
            </w:r>
          </w:p>
        </w:tc>
      </w:tr>
      <w:tr>
        <w:tc>
          <w:tcPr>
            <w:tcW w:type="dxa" w:w="5184"/>
          </w:tcPr>
          <w:p>
            <w:r>
              <w:rPr>
                <w:b/>
              </w:rPr>
              <w:t>Atención coyuntural</w:t>
            </w:r>
          </w:p>
        </w:tc>
        <w:tc>
          <w:tcPr>
            <w:tcW w:type="dxa" w:w="5184"/>
          </w:tcPr>
          <w:p>
            <w:r>
              <w:rPr>
                <w:b/>
                <w:color w:val="BE2323"/>
              </w:rPr>
              <w:t>PRIORITARIA.</w:t>
            </w:r>
          </w:p>
        </w:tc>
      </w:tr>
      <w:tr>
        <w:tc>
          <w:tcPr>
            <w:tcW w:type="dxa" w:w="5184"/>
          </w:tcPr>
          <w:p>
            <w:r>
              <w:rPr>
                <w:b/>
              </w:rPr>
              <w:t>Estado de la información</w:t>
            </w:r>
          </w:p>
        </w:tc>
        <w:tc>
          <w:tcPr>
            <w:tcW w:type="dxa" w:w="5184"/>
          </w:tcPr>
          <w:p>
            <w:r>
              <w:t>EN DESARROLLO / SUJETA A ACTUALIZACIÓN.</w:t>
            </w:r>
          </w:p>
        </w:tc>
      </w:tr>
    </w:tbl>
    <w:p>
      <w:pPr>
        <w:spacing w:before="140" w:after="80"/>
        <w:shd w:fill="0B3A5E"/>
        <w:ind w:left="90" w:right="90"/>
      </w:pPr>
      <w:r>
        <w:rPr>
          <w:b/>
          <w:color w:val="FFFFFF"/>
          <w:sz w:val="21"/>
        </w:rPr>
        <w:t>8. CONCLUSIÓN EJECUTIVA</w:t>
      </w:r>
    </w:p>
    <w:p>
      <w:pPr>
        <w:spacing w:after="80" w:line="252" w:lineRule="auto"/>
        <w:jc w:val="both"/>
      </w:pPr>
      <w:r>
        <w:t>El ataque constituye un evento criminal de alta connotación que evidencia capacidad de planificación y violencia organizada suficiente para alterar la percepción y el escenario coyuntural de seguridad de Trujillo. La existencia de capturas anunciada por la jefatura policial constituye una señal relevante de avance investigativo; sin embargo, corresponde esperar la comunicación oficial detallada antes de atribuir responsabilidades o modificar la valoración de la amenaza.</w:t>
      </w:r>
    </w:p>
    <w:p>
      <w:pPr>
        <w:jc w:val="center"/>
      </w:pPr>
      <w:r>
        <w:rPr>
          <w:b/>
          <w:color w:val="B42823"/>
        </w:rPr>
        <w:t>SEPARACIÓN METODOLÓGICA ORSEC</w:t>
        <w:br/>
      </w:r>
      <w:r>
        <w:rPr>
          <w:b/>
          <w:sz w:val="18"/>
        </w:rPr>
        <w:t>ESTADÍSTICA OFICIAL = incidencia consolidada  |  CONNOTACIÓN = trascendencia estratégica del acontecimiento</w:t>
      </w:r>
    </w:p>
    <w:p>
      <w:pPr>
        <w:spacing w:before="140" w:after="80"/>
        <w:shd w:fill="0B3A5E"/>
        <w:ind w:left="90" w:right="90"/>
      </w:pPr>
      <w:r>
        <w:rPr>
          <w:b/>
          <w:color w:val="FFFFFF"/>
          <w:sz w:val="21"/>
        </w:rPr>
        <w:t>FUENTES ABIERTAS CONSULTADAS</w:t>
      </w:r>
    </w:p>
    <w:p>
      <w:pPr>
        <w:ind w:left="259"/>
      </w:pPr>
      <w:r>
        <w:t xml:space="preserve">• </w:t>
      </w:r>
      <w:r>
        <w:t>Agencia Andina, 30–31/08/2026: información sobre el secuestro, cuatro víctimas mortales, despliegue especializado y coordinación institucional.</w:t>
      </w:r>
    </w:p>
    <w:p>
      <w:pPr>
        <w:ind w:left="259"/>
      </w:pPr>
      <w:r>
        <w:t xml:space="preserve">• </w:t>
      </w:r>
      <w:r>
        <w:t>Defensoría del Pueblo, 30/08/2026: pronunciamiento institucional sobre el asesinato de cuatro personas y secuestro de un ciudadano en Trujillo.</w:t>
      </w:r>
    </w:p>
    <w:p>
      <w:pPr>
        <w:ind w:left="259"/>
      </w:pPr>
      <w:r>
        <w:t xml:space="preserve">• </w:t>
      </w:r>
      <w:r>
        <w:t>Declaración pública del jefe de la Región Policial La Libertad, general PNP Ricardo Espinoza Cuestas, 31/08/2026: investigaciones avanzadas y capturas realizadas; anuncio de información oficial posterior.</w:t>
      </w:r>
    </w:p>
    <w:p>
      <w:pPr>
        <w:spacing w:before="160"/>
      </w:pPr>
      <w:r>
        <w:rPr>
          <w:b/>
        </w:rPr>
        <w:t>Elaborado: ORSEC / GRDN / GORELL</w:t>
        <w:br/>
      </w:r>
      <w:r>
        <w:t>Documento de análisis de contexto para apoyo a la toma de decisiones. No reemplaza partes, atestados, investigaciones fiscales ni registros estadísticos oficiales.</w:t>
      </w:r>
    </w:p>
    <w:sectPr w:rsidR="00FC693F" w:rsidRPr="0006063C" w:rsidSect="00034616">
      <w:headerReference w:type="default" r:id="rId9"/>
      <w:footerReference w:type="default" r:id="rId10"/>
      <w:pgSz w:w="12240" w:h="15840"/>
      <w:pgMar w:top="648"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b/>
        <w:color w:val="506978"/>
        <w:sz w:val="15"/>
      </w:rPr>
      <w:t>ORSEC / GRDN / GORELL  ·  INTELIGENCIA DE CONTEXTO  ·  DOCUMENTO DE APOYO A LA DECISIÓN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1800"/>
      <w:gridCol w:w="6768"/>
      <w:gridCol w:w="1800"/>
    </w:tblGrid>
    <w:tr>
      <w:tc>
        <w:tcPr>
          <w:tcW w:type="dxa" w:w="3456"/>
          <w:vAlign w:val="center"/>
          <w:shd w:fill="0B3A5E"/>
        </w:tcPr>
        <w:p>
          <w:pPr>
            <w:jc w:val="center"/>
          </w:pPr>
          <w:r>
            <w:drawing>
              <wp:inline xmlns:a="http://schemas.openxmlformats.org/drawingml/2006/main" xmlns:pic="http://schemas.openxmlformats.org/drawingml/2006/picture">
                <wp:extent cx="566928" cy="566928"/>
                <wp:docPr id="1" name="Picture 1"/>
                <wp:cNvGraphicFramePr>
                  <a:graphicFrameLocks noChangeAspect="1"/>
                </wp:cNvGraphicFramePr>
                <a:graphic>
                  <a:graphicData uri="http://schemas.openxmlformats.org/drawingml/2006/picture">
                    <pic:pic>
                      <pic:nvPicPr>
                        <pic:cNvPr id="0" name="0d9359c4-d063-4b7a-8d64-8054abcd91a6.png"/>
                        <pic:cNvPicPr/>
                      </pic:nvPicPr>
                      <pic:blipFill>
                        <a:blip r:embed="rId1"/>
                        <a:stretch>
                          <a:fillRect/>
                        </a:stretch>
                      </pic:blipFill>
                      <pic:spPr>
                        <a:xfrm>
                          <a:off x="0" y="0"/>
                          <a:ext cx="566928" cy="566928"/>
                        </a:xfrm>
                        <a:prstGeom prst="rect"/>
                      </pic:spPr>
                    </pic:pic>
                  </a:graphicData>
                </a:graphic>
              </wp:inline>
            </w:drawing>
          </w:r>
        </w:p>
      </w:tc>
      <w:tc>
        <w:tcPr>
          <w:tcW w:type="dxa" w:w="3456"/>
          <w:vAlign w:val="center"/>
          <w:shd w:fill="0B3A5E"/>
        </w:tcPr>
        <w:p>
          <w:pPr>
            <w:jc w:val="center"/>
          </w:pPr>
          <w:r>
            <w:rPr>
              <w:b/>
              <w:color w:val="FFFFFF"/>
              <w:sz w:val="34"/>
            </w:rPr>
            <w:t>ORSEC</w:t>
            <w:br/>
          </w:r>
          <w:r>
            <w:rPr>
              <w:b/>
              <w:color w:val="C8E1F0"/>
              <w:sz w:val="17"/>
            </w:rPr>
            <w:t>CENTRO DE INTELIGENCIA · REGIÓN LA LIBERTAD</w:t>
          </w:r>
        </w:p>
      </w:tc>
      <w:tc>
        <w:tcPr>
          <w:tcW w:type="dxa" w:w="3456"/>
          <w:vAlign w:val="center"/>
          <w:shd w:fill="0B3A5E"/>
        </w:tcPr>
        <w:p>
          <w:pPr>
            <w:jc w:val="center"/>
          </w:pPr>
          <w:r>
            <w:drawing>
              <wp:inline xmlns:a="http://schemas.openxmlformats.org/drawingml/2006/main" xmlns:pic="http://schemas.openxmlformats.org/drawingml/2006/picture">
                <wp:extent cx="685800" cy="434051"/>
                <wp:docPr id="2" name="Picture 2"/>
                <wp:cNvGraphicFramePr>
                  <a:graphicFrameLocks noChangeAspect="1"/>
                </wp:cNvGraphicFramePr>
                <a:graphic>
                  <a:graphicData uri="http://schemas.openxmlformats.org/drawingml/2006/picture">
                    <pic:pic>
                      <pic:nvPicPr>
                        <pic:cNvPr id="0" name="dfba63a1-ba61-4bd0-a787-84c7fcdf520d.png"/>
                        <pic:cNvPicPr/>
                      </pic:nvPicPr>
                      <pic:blipFill>
                        <a:blip r:embed="rId2"/>
                        <a:stretch>
                          <a:fillRect/>
                        </a:stretch>
                      </pic:blipFill>
                      <pic:spPr>
                        <a:xfrm>
                          <a:off x="0" y="0"/>
                          <a:ext cx="685800" cy="434051"/>
                        </a:xfrm>
                        <a:prstGeom prst="rect"/>
                      </pic:spPr>
                    </pic:pic>
                  </a:graphicData>
                </a:graphic>
              </wp:inline>
            </w:drawing>
          </w:r>
        </w:p>
      </w:tc>
    </w:tr>
  </w:tbl>
  <w:p>
    <w:pPr>
      <w:spacing w:after="40"/>
      <w:pBdr>
        <w:bottom w:val="single" w:sz="18" w:color="45C9FF"/>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